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bookmarkStart w:id="0" w:name="_Hlk51111276"/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Times New Roman"/>
          <w:sz w:val="44"/>
          <w:szCs w:val="24"/>
        </w:rPr>
      </w:pPr>
      <w:r>
        <w:rPr>
          <w:rFonts w:hint="eastAsia" w:ascii="黑体" w:hAnsi="黑体" w:eastAsia="黑体" w:cs="Times New Roman"/>
          <w:sz w:val="44"/>
          <w:szCs w:val="24"/>
        </w:rPr>
        <w:t>2020中国机器人大赛</w:t>
      </w: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/>
          <w:sz w:val="44"/>
          <w:lang w:val="en-US" w:eastAsia="zh-Hans"/>
        </w:rPr>
      </w:pPr>
      <w:r>
        <w:rPr>
          <w:rFonts w:hint="eastAsia" w:ascii="黑体" w:hAnsi="黑体" w:eastAsia="黑体"/>
          <w:sz w:val="44"/>
          <w:lang w:val="en-US" w:eastAsia="zh-Hans"/>
        </w:rPr>
        <w:t>农业机器人</w:t>
      </w:r>
    </w:p>
    <w:p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参赛</w:t>
      </w:r>
      <w:r>
        <w:rPr>
          <w:rFonts w:hint="eastAsia"/>
          <w:b/>
          <w:sz w:val="36"/>
          <w:szCs w:val="36"/>
        </w:rPr>
        <w:t>队伍</w:t>
      </w:r>
      <w:r>
        <w:rPr>
          <w:b/>
          <w:sz w:val="36"/>
          <w:szCs w:val="36"/>
        </w:rPr>
        <w:t>资格</w:t>
      </w:r>
      <w:r>
        <w:rPr>
          <w:rFonts w:hint="eastAsia"/>
          <w:b/>
          <w:sz w:val="36"/>
          <w:szCs w:val="36"/>
        </w:rPr>
        <w:t>认证</w:t>
      </w: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ascii="黑体" w:hAnsi="黑体" w:eastAsia="黑体"/>
          <w:sz w:val="36"/>
          <w:szCs w:val="36"/>
        </w:rPr>
        <w:t>20</w:t>
      </w:r>
      <w:r>
        <w:rPr>
          <w:rFonts w:hint="eastAsia" w:ascii="黑体" w:hAnsi="黑体" w:eastAsia="黑体"/>
          <w:sz w:val="36"/>
          <w:szCs w:val="36"/>
        </w:rPr>
        <w:t>20中国机器人大赛农业机器人赛项技术委员会</w:t>
      </w:r>
    </w:p>
    <w:p>
      <w:pPr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2020年9月30日</w:t>
      </w:r>
    </w:p>
    <w:p>
      <w:pPr>
        <w:widowControl/>
        <w:jc w:val="left"/>
        <w:rPr>
          <w:sz w:val="36"/>
          <w:szCs w:val="36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titlePg/>
          <w:docGrid w:type="lines" w:linePitch="312" w:charSpace="0"/>
        </w:sectPr>
      </w:pPr>
      <w:r>
        <w:rPr>
          <w:sz w:val="36"/>
          <w:szCs w:val="36"/>
        </w:rPr>
        <w:br w:type="page"/>
      </w:r>
    </w:p>
    <w:p>
      <w:pPr>
        <w:pStyle w:val="3"/>
        <w:spacing w:before="240" w:after="0" w:line="377" w:lineRule="auto"/>
      </w:pPr>
      <w:bookmarkStart w:id="1" w:name="_Toc10920496"/>
      <w:bookmarkStart w:id="2" w:name="_Toc10908287"/>
      <w:bookmarkStart w:id="3" w:name="_Toc485767136"/>
      <w:bookmarkStart w:id="4" w:name="_Toc514094011"/>
      <w:r>
        <w:t>1</w:t>
      </w:r>
      <w:r>
        <w:rPr>
          <w:rFonts w:hint="eastAsia"/>
        </w:rPr>
        <w:t xml:space="preserve"> </w:t>
      </w:r>
      <w:r>
        <w:t>参赛队伍要求</w:t>
      </w:r>
      <w:bookmarkEnd w:id="1"/>
      <w:bookmarkEnd w:id="2"/>
    </w:p>
    <w:p>
      <w:pPr>
        <w:adjustRightInd w:val="0"/>
        <w:snapToGrid w:val="0"/>
        <w:spacing w:line="240" w:lineRule="auto"/>
        <w:ind w:firstLine="480" w:firstLineChars="200"/>
        <w:rPr>
          <w:rFonts w:hint="eastAsia" w:ascii="Times New Roman" w:hAnsi="Times New Roman" w:cs="Times New Roman"/>
          <w:color w:val="FF0000"/>
          <w:sz w:val="24"/>
          <w:szCs w:val="24"/>
        </w:rPr>
      </w:pPr>
      <w:r>
        <w:rPr>
          <w:rFonts w:hint="eastAsia" w:ascii="Times New Roman" w:hAnsi="Times New Roman" w:cs="Times New Roman"/>
          <w:color w:val="FF0000"/>
          <w:sz w:val="24"/>
          <w:szCs w:val="24"/>
          <w:lang w:val="en-US" w:eastAsia="zh-Hans"/>
        </w:rPr>
        <w:t>参赛队伍要求</w:t>
      </w:r>
      <w:bookmarkStart w:id="14" w:name="_GoBack"/>
      <w:bookmarkEnd w:id="14"/>
      <w:r>
        <w:rPr>
          <w:rFonts w:hint="eastAsia" w:ascii="Times New Roman" w:hAnsi="Times New Roman" w:cs="Times New Roman"/>
          <w:color w:val="FF0000"/>
          <w:sz w:val="24"/>
          <w:szCs w:val="24"/>
          <w:lang w:val="en-US" w:eastAsia="zh-Hans"/>
        </w:rPr>
        <w:t>以组委会后续统一规定为准</w:t>
      </w:r>
      <w:r>
        <w:rPr>
          <w:rFonts w:hint="eastAsia" w:ascii="Times New Roman" w:hAnsi="Times New Roman" w:cs="Times New Roman"/>
          <w:color w:val="FF0000"/>
          <w:sz w:val="24"/>
          <w:szCs w:val="24"/>
        </w:rPr>
        <w:t>。</w:t>
      </w:r>
    </w:p>
    <w:p>
      <w:pPr>
        <w:pStyle w:val="3"/>
        <w:spacing w:before="240" w:after="0" w:line="377" w:lineRule="auto"/>
      </w:pPr>
      <w:bookmarkStart w:id="5" w:name="_Toc10920497"/>
      <w:bookmarkStart w:id="6" w:name="_Toc10908288"/>
      <w:r>
        <w:t>2</w:t>
      </w:r>
      <w:r>
        <w:rPr>
          <w:rFonts w:hint="eastAsia"/>
        </w:rPr>
        <w:t xml:space="preserve"> </w:t>
      </w:r>
      <w:r>
        <w:t>机器人</w:t>
      </w:r>
      <w:bookmarkEnd w:id="3"/>
      <w:bookmarkEnd w:id="4"/>
      <w:r>
        <w:t>要求</w:t>
      </w:r>
      <w:bookmarkEnd w:id="5"/>
      <w:bookmarkEnd w:id="6"/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该部分是资格认证的关键部分，</w:t>
      </w:r>
      <w:r>
        <w:rPr>
          <w:rFonts w:hint="eastAsia" w:ascii="Times New Roman" w:hAnsi="Times New Roman"/>
          <w:color w:val="000000" w:themeColor="text1"/>
          <w:spacing w:val="-3"/>
          <w:kern w:val="0"/>
          <w:sz w:val="24"/>
          <w:szCs w:val="24"/>
          <w14:textFill>
            <w14:solidFill>
              <w14:schemeClr w14:val="tx1"/>
            </w14:solidFill>
          </w14:textFill>
        </w:rPr>
        <w:t>资格</w:t>
      </w:r>
      <w:r>
        <w:rPr>
          <w:rFonts w:hint="eastAsia" w:ascii="Times New Roman" w:hAnsi="Times New Roman" w:cs="Times New Roman"/>
          <w:sz w:val="24"/>
          <w:szCs w:val="24"/>
        </w:rPr>
        <w:t>认证后，无论是否具有参赛资格，都需要有评审专家签字确保资格认证的真实性。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2.1 机器人数量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每个</w:t>
      </w:r>
      <w:r>
        <w:rPr>
          <w:rFonts w:hint="eastAsia" w:ascii="Times New Roman" w:hAnsi="Times New Roman" w:cs="Times New Roman"/>
          <w:bCs/>
          <w:sz w:val="24"/>
          <w:szCs w:val="24"/>
        </w:rPr>
        <w:t>参赛</w:t>
      </w:r>
      <w:r>
        <w:rPr>
          <w:rFonts w:hint="eastAsia" w:ascii="Times New Roman" w:hAnsi="Times New Roman" w:cs="Times New Roman"/>
          <w:sz w:val="24"/>
          <w:szCs w:val="24"/>
        </w:rPr>
        <w:t>队伍应准备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>至少一个</w:t>
      </w:r>
      <w:r>
        <w:rPr>
          <w:rFonts w:hint="eastAsia" w:ascii="Times New Roman" w:hAnsi="Times New Roman" w:cs="Times New Roman"/>
          <w:sz w:val="24"/>
          <w:szCs w:val="24"/>
        </w:rPr>
        <w:t>参赛</w:t>
      </w:r>
      <w:r>
        <w:rPr>
          <w:rFonts w:hint="eastAsia" w:ascii="Times New Roman" w:hAnsi="Times New Roman"/>
          <w:color w:val="000000" w:themeColor="text1"/>
          <w:spacing w:val="-3"/>
          <w:kern w:val="0"/>
          <w:sz w:val="24"/>
          <w:szCs w:val="24"/>
          <w14:textFill>
            <w14:solidFill>
              <w14:schemeClr w14:val="tx1"/>
            </w14:solidFill>
          </w14:textFill>
        </w:rPr>
        <w:t>机器人</w:t>
      </w:r>
      <w:r>
        <w:rPr>
          <w:rFonts w:hint="eastAsia" w:ascii="Times New Roman" w:hAnsi="Times New Roman" w:cs="Times New Roman"/>
          <w:sz w:val="24"/>
          <w:szCs w:val="24"/>
        </w:rPr>
        <w:t>，可以准备若干备用机器人。不能提供至少一个参赛机器人的队伍，不具备参赛资格。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2.2 机器人安全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机器人在比赛场地上完成动作，不能破坏场地。对于有潜在危险的执行机构或引起其他安全事故的隐患，需</w:t>
      </w:r>
      <w:r>
        <w:rPr>
          <w:rFonts w:hint="eastAsia" w:ascii="Times New Roman" w:hAnsi="Times New Roman"/>
          <w:color w:val="000000" w:themeColor="text1"/>
          <w:spacing w:val="-3"/>
          <w:kern w:val="0"/>
          <w:sz w:val="24"/>
          <w:szCs w:val="24"/>
          <w14:textFill>
            <w14:solidFill>
              <w14:schemeClr w14:val="tx1"/>
            </w14:solidFill>
          </w14:textFill>
        </w:rPr>
        <w:t>设置</w:t>
      </w:r>
      <w:r>
        <w:rPr>
          <w:rFonts w:hint="eastAsia" w:ascii="Times New Roman" w:hAnsi="Times New Roman" w:cs="Times New Roman"/>
          <w:sz w:val="24"/>
          <w:szCs w:val="24"/>
        </w:rPr>
        <w:t>安全保护措施，造成轻微安全事故的，扣除30分，造成重大安全事件的，取消参赛资格。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2.3启动与急停按钮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为保证机器人和场地安全，所设计机器人应配备启动与急停按钮。不设置启动与急停按钮的，不具备</w:t>
      </w:r>
      <w:r>
        <w:rPr>
          <w:rFonts w:hint="eastAsia" w:ascii="Times New Roman" w:hAnsi="Times New Roman"/>
          <w:color w:val="000000" w:themeColor="text1"/>
          <w:spacing w:val="-3"/>
          <w:kern w:val="0"/>
          <w:sz w:val="24"/>
          <w:szCs w:val="24"/>
          <w14:textFill>
            <w14:solidFill>
              <w14:schemeClr w14:val="tx1"/>
            </w14:solidFill>
          </w14:textFill>
        </w:rPr>
        <w:t>参赛</w:t>
      </w:r>
      <w:r>
        <w:rPr>
          <w:rFonts w:hint="eastAsia" w:ascii="Times New Roman" w:hAnsi="Times New Roman" w:cs="Times New Roman"/>
          <w:sz w:val="24"/>
          <w:szCs w:val="24"/>
        </w:rPr>
        <w:t>资格。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2.4机器人几何大小</w:t>
      </w:r>
    </w:p>
    <w:p>
      <w:pPr>
        <w:adjustRightInd w:val="0"/>
        <w:snapToGrid w:val="0"/>
        <w:spacing w:line="360" w:lineRule="auto"/>
        <w:ind w:firstLine="468" w:firstLineChars="200"/>
        <w:rPr>
          <w:rFonts w:ascii="Times New Roman" w:hAnsi="Times New Roman"/>
          <w:color w:val="000000" w:themeColor="text1"/>
          <w:spacing w:val="-3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pacing w:val="-3"/>
          <w:kern w:val="0"/>
          <w:sz w:val="24"/>
          <w:szCs w:val="24"/>
          <w14:textFill>
            <w14:solidFill>
              <w14:schemeClr w14:val="tx1"/>
            </w14:solidFill>
          </w14:textFill>
        </w:rPr>
        <w:t>采摘机器人的垂直投影，长应不大于800mm，宽应不大于600mm。</w:t>
      </w:r>
    </w:p>
    <w:p>
      <w:pPr>
        <w:adjustRightInd w:val="0"/>
        <w:snapToGrid w:val="0"/>
        <w:spacing w:line="360" w:lineRule="auto"/>
        <w:ind w:firstLine="468" w:firstLineChars="200"/>
        <w:rPr>
          <w:rFonts w:ascii="Times New Roman" w:hAnsi="Times New Roman"/>
          <w:color w:val="000000" w:themeColor="text1"/>
          <w:spacing w:val="-3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pacing w:val="-3"/>
          <w:kern w:val="0"/>
          <w:sz w:val="24"/>
          <w:szCs w:val="24"/>
          <w14:textFill>
            <w14:solidFill>
              <w14:schemeClr w14:val="tx1"/>
            </w14:solidFill>
          </w14:textFill>
        </w:rPr>
        <w:t>喷药机器人的垂直投影，长宽均应小于600mm。</w:t>
      </w:r>
    </w:p>
    <w:p>
      <w:pPr>
        <w:adjustRightInd w:val="0"/>
        <w:snapToGrid w:val="0"/>
        <w:spacing w:line="360" w:lineRule="auto"/>
        <w:ind w:firstLine="468" w:firstLineChars="200"/>
        <w:rPr>
          <w:rFonts w:ascii="Times New Roman" w:hAnsi="Times New Roman"/>
          <w:color w:val="000000" w:themeColor="text1"/>
          <w:spacing w:val="-3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bookmarkStart w:id="7" w:name="_Hlk51106272"/>
      <w:r>
        <w:rPr>
          <w:rFonts w:hint="eastAsia" w:ascii="Times New Roman" w:hAnsi="Times New Roman"/>
          <w:color w:val="000000" w:themeColor="text1"/>
          <w:spacing w:val="-3"/>
          <w:kern w:val="0"/>
          <w:sz w:val="24"/>
          <w:szCs w:val="24"/>
          <w14:textFill>
            <w14:solidFill>
              <w14:schemeClr w14:val="tx1"/>
            </w14:solidFill>
          </w14:textFill>
        </w:rPr>
        <w:t>授花粉</w:t>
      </w:r>
      <w:bookmarkEnd w:id="7"/>
      <w:r>
        <w:rPr>
          <w:rFonts w:hint="eastAsia" w:ascii="Times New Roman" w:hAnsi="Times New Roman"/>
          <w:color w:val="000000" w:themeColor="text1"/>
          <w:spacing w:val="-3"/>
          <w:kern w:val="0"/>
          <w:sz w:val="24"/>
          <w:szCs w:val="24"/>
          <w14:textFill>
            <w14:solidFill>
              <w14:schemeClr w14:val="tx1"/>
            </w14:solidFill>
          </w14:textFill>
        </w:rPr>
        <w:t>机器人的垂直投影，长宽均应小于400mm，无人机垂直投影长宽均应小于400mm。</w:t>
      </w:r>
    </w:p>
    <w:p>
      <w:pPr>
        <w:adjustRightInd w:val="0"/>
        <w:snapToGrid w:val="0"/>
        <w:spacing w:line="360" w:lineRule="auto"/>
        <w:ind w:firstLine="468" w:firstLineChars="200"/>
        <w:rPr>
          <w:rFonts w:ascii="Times New Roman" w:hAnsi="Times New Roman"/>
          <w:color w:val="000000" w:themeColor="text1"/>
          <w:spacing w:val="-3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pacing w:val="-3"/>
          <w:kern w:val="0"/>
          <w:sz w:val="24"/>
          <w:szCs w:val="24"/>
          <w14:textFill>
            <w14:solidFill>
              <w14:schemeClr w14:val="tx1"/>
            </w14:solidFill>
          </w14:textFill>
        </w:rPr>
        <w:t>节水灌溉机器人的垂直投影，长应不大于600mm，宽不大于600mm，无人机的垂直投影长宽应均小于800mm。</w:t>
      </w:r>
    </w:p>
    <w:p>
      <w:pPr>
        <w:adjustRightInd w:val="0"/>
        <w:snapToGrid w:val="0"/>
        <w:spacing w:line="360" w:lineRule="auto"/>
        <w:ind w:firstLine="468" w:firstLineChars="200"/>
        <w:rPr>
          <w:rFonts w:ascii="Times New Roman" w:hAnsi="Times New Roman"/>
          <w:color w:val="000000" w:themeColor="text1"/>
          <w:spacing w:val="-3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pacing w:val="-3"/>
          <w:kern w:val="0"/>
          <w:sz w:val="24"/>
          <w:szCs w:val="24"/>
          <w14:textFill>
            <w14:solidFill>
              <w14:schemeClr w14:val="tx1"/>
            </w14:solidFill>
          </w14:textFill>
        </w:rPr>
        <w:t>机器人超出上述尺寸的队伍，不具备对应赛项的参赛资格。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2.5 机器人重量</w:t>
      </w:r>
    </w:p>
    <w:p>
      <w:pPr>
        <w:adjustRightInd w:val="0"/>
        <w:snapToGrid w:val="0"/>
        <w:spacing w:line="360" w:lineRule="auto"/>
        <w:ind w:firstLine="468" w:firstLineChars="200"/>
        <w:rPr>
          <w:rFonts w:ascii="Times New Roman" w:hAnsi="Times New Roman"/>
          <w:color w:val="000000" w:themeColor="text1"/>
          <w:spacing w:val="-3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pacing w:val="-3"/>
          <w:kern w:val="0"/>
          <w:sz w:val="24"/>
          <w:szCs w:val="24"/>
          <w14:textFill>
            <w14:solidFill>
              <w14:schemeClr w14:val="tx1"/>
            </w14:solidFill>
          </w14:textFill>
        </w:rPr>
        <w:t>机器人整体重量不得超过30kg。超出该重量的机器人队伍，不具备参赛资格。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2.6 机器人外观要求</w:t>
      </w:r>
    </w:p>
    <w:p>
      <w:pPr>
        <w:adjustRightInd w:val="0"/>
        <w:snapToGrid w:val="0"/>
        <w:spacing w:line="360" w:lineRule="auto"/>
        <w:ind w:firstLine="468" w:firstLineChars="200"/>
        <w:rPr>
          <w:rFonts w:ascii="Times New Roman" w:hAnsi="Times New Roman"/>
          <w:color w:val="000000" w:themeColor="text1"/>
          <w:spacing w:val="-3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pacing w:val="-3"/>
          <w:kern w:val="0"/>
          <w:sz w:val="24"/>
          <w:szCs w:val="24"/>
          <w14:textFill>
            <w14:solidFill>
              <w14:schemeClr w14:val="tx1"/>
            </w14:solidFill>
          </w14:textFill>
        </w:rPr>
        <w:t>机器人在满足比赛要求的情况下，外观要尽量保证美观，整洁。外观杂乱，影响比赛安全的队伍，可以根据影响比赛情况，酌情扣除10~20分。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2.7 本项赛事对机器人的其他特殊要求</w:t>
      </w:r>
    </w:p>
    <w:p>
      <w:pPr>
        <w:adjustRightInd w:val="0"/>
        <w:snapToGrid w:val="0"/>
        <w:spacing w:line="360" w:lineRule="auto"/>
        <w:ind w:firstLine="468" w:firstLineChars="200"/>
        <w:rPr>
          <w:rFonts w:ascii="Times New Roman" w:hAnsi="Times New Roman"/>
          <w:color w:val="000000" w:themeColor="text1"/>
          <w:spacing w:val="-3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pacing w:val="-3"/>
          <w:kern w:val="0"/>
          <w:sz w:val="24"/>
          <w:szCs w:val="24"/>
          <w14:textFill>
            <w14:solidFill>
              <w14:schemeClr w14:val="tx1"/>
            </w14:solidFill>
          </w14:textFill>
        </w:rPr>
        <w:t>所参加比赛的机器人必须是参赛队伍自主研发、自主搭建、自主调试的机器人，整机购买的机器人，不允许参加比赛，部分外购的器件需要在提交的技术文档中专门列出。</w:t>
      </w:r>
    </w:p>
    <w:p>
      <w:pPr>
        <w:pStyle w:val="3"/>
        <w:spacing w:before="240" w:after="0" w:line="377" w:lineRule="auto"/>
      </w:pPr>
      <w:bookmarkStart w:id="8" w:name="_Toc485767137"/>
      <w:bookmarkStart w:id="9" w:name="_Toc514094012"/>
      <w:bookmarkStart w:id="10" w:name="_Toc10908289"/>
      <w:bookmarkStart w:id="11" w:name="_Toc10920498"/>
      <w:r>
        <w:t>3</w:t>
      </w:r>
      <w:bookmarkEnd w:id="8"/>
      <w:bookmarkEnd w:id="9"/>
      <w:r>
        <w:t>技术认证文档要求</w:t>
      </w:r>
      <w:bookmarkEnd w:id="10"/>
      <w:bookmarkEnd w:id="11"/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color w:val="FF0000"/>
          <w:sz w:val="24"/>
          <w:szCs w:val="24"/>
        </w:rPr>
        <w:t>特别注意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：每支报名的参赛队伍必须</w:t>
      </w:r>
      <w:r>
        <w:rPr>
          <w:rFonts w:ascii="Times New Roman" w:hAnsi="Times New Roman" w:eastAsia="宋体" w:cs="Times New Roman"/>
          <w:b/>
          <w:bCs/>
          <w:color w:val="FF0000"/>
          <w:sz w:val="24"/>
          <w:szCs w:val="24"/>
        </w:rPr>
        <w:t>在报名的同时提交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资格认证材料到指定邮箱（syg9696@nwsuaf.edu.cn），</w:t>
      </w:r>
      <w:r>
        <w:rPr>
          <w:rFonts w:ascii="Times New Roman" w:hAnsi="Times New Roman" w:eastAsia="宋体" w:cs="Times New Roman"/>
          <w:b/>
          <w:bCs/>
          <w:color w:val="FF0000"/>
          <w:sz w:val="24"/>
          <w:szCs w:val="24"/>
        </w:rPr>
        <w:t>不提交资格认证材料的队伍不具备比赛资格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；资格认证材料内容包括三个部分（</w:t>
      </w:r>
      <w:r>
        <w:rPr>
          <w:rFonts w:ascii="Times New Roman" w:hAnsi="Times New Roman" w:eastAsia="宋体" w:cs="Times New Roman"/>
          <w:b/>
          <w:bCs/>
          <w:color w:val="FF0000"/>
          <w:sz w:val="24"/>
          <w:szCs w:val="24"/>
        </w:rPr>
        <w:t>着重声明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：资格认证材料中必须包含第一部分，如果提交的材料没有第一部分，不能获得比赛资格）：</w:t>
      </w: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color w:val="FF0000"/>
          <w:sz w:val="24"/>
          <w:szCs w:val="24"/>
        </w:rPr>
        <w:t>第一部分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：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必须提交材料</w:t>
      </w:r>
    </w:p>
    <w:p>
      <w:pPr>
        <w:adjustRightInd w:val="0"/>
        <w:snapToGrid w:val="0"/>
        <w:spacing w:line="360" w:lineRule="auto"/>
        <w:ind w:firstLine="48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①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队伍介绍，主要包括成员介绍，以前的参赛介绍等等，既可以提交一个word文档也可以提交团队主页的网页链接，如果提交文档，正文字体为宋体小四，1.5倍行距，应尽量保证排版美观且不少于4页。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②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机器人功能展示视频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，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视频大小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控制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在10M以下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，时长应在2分钟到3分钟之间，视频名称要注明队伍名称，学校名称；视频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主要内容为中国机器人大赛预选赛的内容要求，如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机器人采摘果实、喷药、授花粉、节水灌溉等作业过程，机器人按既定路线行走过程，或机器人语音播报等。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③</w:t>
      </w:r>
      <w:bookmarkStart w:id="12" w:name="_Hlk51107323"/>
      <w:r>
        <w:rPr>
          <w:rFonts w:ascii="Times New Roman" w:hAnsi="Times New Roman" w:eastAsia="宋体" w:cs="Times New Roman"/>
          <w:color w:val="000000"/>
          <w:sz w:val="24"/>
          <w:szCs w:val="24"/>
        </w:rPr>
        <w:t>机器人介绍相关材料</w:t>
      </w:r>
      <w:bookmarkEnd w:id="12"/>
      <w:r>
        <w:rPr>
          <w:rFonts w:ascii="Times New Roman" w:hAnsi="Times New Roman" w:eastAsia="宋体" w:cs="Times New Roman"/>
          <w:color w:val="000000"/>
          <w:sz w:val="24"/>
          <w:szCs w:val="24"/>
        </w:rPr>
        <w:t>，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特别强调，技术委员会关注各参赛队队员的自我创新，不能抄袭，不能与他队雷同，否则有可能被取消比赛资格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。主要内容为相关赛项所需的底盘控制算法，执行机构控制算法等，而节水灌溉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、授花粉机器人项目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还需要必要的通信方式简介以及无人机飞控技术简述等，最终提交一个不少于 6页的pdf文件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，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正文字体为宋体小四，1.5倍行距，应尽量保证排版美观。</w:t>
      </w: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color w:val="FF0000"/>
          <w:sz w:val="24"/>
          <w:szCs w:val="24"/>
        </w:rPr>
        <w:t>第二部分：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过往参赛证明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近3年（即2017，2018，2019年）参加中国自动化学会组织的中国机器人大赛XXX项目、RoboCup机器人世界杯中国赛XXX项目等的获奖情况说明文档，同时需提供相应jpg格式获奖证书图片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的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证明材料。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ascii="Times New Roman" w:hAnsi="Times New Roman" w:eastAsia="宋体" w:cs="Times New Roman"/>
          <w:color w:val="FF0000"/>
          <w:sz w:val="24"/>
          <w:szCs w:val="24"/>
        </w:rPr>
        <w:t>注1：每个参赛队需提交一份获奖证书的目录，TXT文件格式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ascii="Times New Roman" w:hAnsi="Times New Roman" w:eastAsia="宋体" w:cs="Times New Roman"/>
          <w:color w:val="FF0000"/>
          <w:sz w:val="24"/>
          <w:szCs w:val="24"/>
        </w:rPr>
        <w:t>注2：所提交的jpg文件经压缩后，所有jpg文件之和不超过5M，否则扣除10</w:t>
      </w: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~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50分（视情况由技术委员会讨论决定）。</w:t>
      </w:r>
    </w:p>
    <w:p>
      <w:pPr>
        <w:adjustRightInd w:val="0"/>
        <w:snapToGrid w:val="0"/>
        <w:spacing w:line="360" w:lineRule="auto"/>
        <w:ind w:left="241" w:hanging="240" w:hangingChars="100"/>
        <w:jc w:val="left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color w:val="FF0000"/>
          <w:sz w:val="24"/>
          <w:szCs w:val="24"/>
        </w:rPr>
        <w:t>第三部分：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贡献证明材料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近3年（2017--2019）来团队或团队成员公开发表的与此机器人涉及技术相关的论文、申请的专利与软件著作权等情况说明文档（需提供相应证明材料，如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论文电子版、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证书复印件等）。</w:t>
      </w:r>
    </w:p>
    <w:p>
      <w:pPr>
        <w:pStyle w:val="3"/>
        <w:spacing w:before="240" w:after="0" w:line="377" w:lineRule="auto"/>
      </w:pPr>
      <w:r>
        <w:rPr>
          <w:rFonts w:hint="eastAsia"/>
        </w:rPr>
        <w:t>4</w:t>
      </w:r>
      <w:r>
        <w:t>技术认证文档</w:t>
      </w:r>
      <w:r>
        <w:rPr>
          <w:rFonts w:hint="eastAsia"/>
        </w:rPr>
        <w:t>评分</w:t>
      </w:r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技术认证文档</w:t>
      </w:r>
      <w:r>
        <w:rPr>
          <w:rFonts w:hint="eastAsia"/>
          <w:color w:val="000000"/>
          <w:sz w:val="24"/>
          <w:szCs w:val="24"/>
        </w:rPr>
        <w:t>评分由技术委员会评定，在赛项讨论群中公布结果。</w:t>
      </w:r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资格认证材料中必须包含第一部分，如果无法提供其他两部分材料，需提交一份说明文档，对情况予以说明；资格认证材料由农业机器人技术委员会进行评分并排序；</w:t>
      </w:r>
      <w:r>
        <w:rPr>
          <w:rFonts w:hint="eastAsia"/>
          <w:color w:val="FF0000"/>
          <w:sz w:val="24"/>
          <w:szCs w:val="24"/>
        </w:rPr>
        <w:t>在比赛成绩出现相同情况下，由资格认证评分来决定队伍排名</w:t>
      </w:r>
      <w:r>
        <w:rPr>
          <w:rFonts w:hint="eastAsia"/>
          <w:color w:val="000000"/>
          <w:sz w:val="24"/>
          <w:szCs w:val="24"/>
        </w:rPr>
        <w:t>，资格认证排名靠前的最终比赛排名靠前。</w:t>
      </w:r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资格认证材料评分依据如下：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（</w:t>
      </w:r>
      <w:r>
        <w:rPr>
          <w:rFonts w:hint="eastAsia" w:ascii="Cambria" w:hAnsi="Cambria"/>
          <w:color w:val="000000"/>
          <w:sz w:val="24"/>
          <w:szCs w:val="24"/>
        </w:rPr>
        <w:t>1</w:t>
      </w:r>
      <w:r>
        <w:rPr>
          <w:rFonts w:hint="eastAsia"/>
          <w:color w:val="000000"/>
          <w:sz w:val="24"/>
          <w:szCs w:val="24"/>
        </w:rPr>
        <w:t>）对于必须提交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材料</w:t>
      </w:r>
      <w:r>
        <w:rPr>
          <w:rFonts w:hint="eastAsia"/>
          <w:color w:val="000000"/>
          <w:sz w:val="24"/>
          <w:szCs w:val="24"/>
        </w:rPr>
        <w:t>：此项材料</w:t>
      </w:r>
      <w:r>
        <w:rPr>
          <w:rFonts w:hint="eastAsia"/>
          <w:color w:val="FF0000"/>
          <w:sz w:val="24"/>
          <w:szCs w:val="24"/>
        </w:rPr>
        <w:t>不计分</w:t>
      </w:r>
      <w:r>
        <w:rPr>
          <w:rFonts w:hint="eastAsia"/>
          <w:color w:val="000000"/>
          <w:sz w:val="24"/>
          <w:szCs w:val="24"/>
        </w:rPr>
        <w:t>，如果不提交此项材料，直接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取消比赛资格；如果提交的材料不合要求，从资格认证总分中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扣除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相应分数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：队伍介绍不合格扣1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0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分，机器人功能展示视频不合格扣2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0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分，机器人介绍相关材料不合格扣3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0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分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（2）对于过往参赛证明材料：一项一等奖60分，一项二等奖40分，一项三等奖20分。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（3）对于贡献证明材料：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团队发表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与参赛项目机器人相关的1篇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公开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论文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得1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0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分，北大核心期刊论文得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30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分，S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CI/EI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论文得6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0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分；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1项发明专利授权得60分，1项发明专利申请受理、1项软件著作权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授权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、1项实用新型专利</w:t>
      </w:r>
      <w:bookmarkStart w:id="13" w:name="_Hlk51229237"/>
      <w:r>
        <w:rPr>
          <w:rFonts w:ascii="Times New Roman" w:hAnsi="Times New Roman" w:eastAsia="宋体" w:cs="Times New Roman"/>
          <w:color w:val="000000"/>
          <w:sz w:val="24"/>
          <w:szCs w:val="24"/>
        </w:rPr>
        <w:t>授权</w:t>
      </w:r>
      <w:bookmarkEnd w:id="13"/>
      <w:r>
        <w:rPr>
          <w:rFonts w:ascii="Times New Roman" w:hAnsi="Times New Roman" w:eastAsia="宋体" w:cs="Times New Roman"/>
          <w:color w:val="000000"/>
          <w:sz w:val="24"/>
          <w:szCs w:val="24"/>
        </w:rPr>
        <w:t>得30分。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color w:val="4BACC6" w:themeColor="accent5"/>
          <w:sz w:val="24"/>
          <w:szCs w:val="24"/>
          <w14:textFill>
            <w14:solidFill>
              <w14:schemeClr w14:val="accent5"/>
            </w14:solidFill>
          </w14:textFill>
        </w:rPr>
      </w:pPr>
      <w:r>
        <w:rPr>
          <w:rFonts w:ascii="Times New Roman" w:hAnsi="Times New Roman" w:eastAsia="宋体" w:cs="Times New Roman"/>
          <w:color w:val="FF0000"/>
          <w:sz w:val="24"/>
          <w:szCs w:val="24"/>
        </w:rPr>
        <w:t>注3：材料在提交时压缩包统一命名为：XX单位_资格认证材料；压缩包内包括三个文件夹，分别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命名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为第一部分，第二部分和第三部分，里面存放对应材料，如果没有某部分材料，对应文件夹内放置一份情况说明文档</w:t>
      </w:r>
      <w:r>
        <w:rPr>
          <w:rFonts w:ascii="Times New Roman" w:hAnsi="Times New Roman" w:eastAsia="宋体" w:cs="Times New Roman"/>
          <w:color w:val="4BACC6" w:themeColor="accent5"/>
          <w:sz w:val="24"/>
          <w:szCs w:val="24"/>
          <w14:textFill>
            <w14:solidFill>
              <w14:schemeClr w14:val="accent5"/>
            </w14:solidFill>
          </w14:textFill>
        </w:rPr>
        <w:t>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ascii="Times New Roman" w:hAnsi="Times New Roman" w:eastAsia="宋体" w:cs="Times New Roman"/>
          <w:color w:val="FF0000"/>
          <w:sz w:val="24"/>
          <w:szCs w:val="24"/>
        </w:rPr>
        <w:t>注4：每队上传的资格认证材料严格控制在20M以内 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ascii="Times New Roman" w:hAnsi="Times New Roman" w:eastAsia="宋体" w:cs="Times New Roman"/>
          <w:color w:val="FF0000"/>
          <w:sz w:val="24"/>
          <w:szCs w:val="24"/>
        </w:rPr>
        <w:t>注5：在比赛期间对比赛做出一定贡献的，在下一次资格认证时给相应队伍加10</w:t>
      </w: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~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50分</w:t>
      </w: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，由技术委员会讨论决定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。</w:t>
      </w:r>
    </w:p>
    <w:p>
      <w:pPr>
        <w:adjustRightInd w:val="0"/>
        <w:snapToGrid w:val="0"/>
        <w:spacing w:line="360" w:lineRule="auto"/>
        <w:ind w:firstLine="480" w:firstLineChars="200"/>
      </w:pPr>
      <w:r>
        <w:rPr>
          <w:rFonts w:ascii="Times New Roman" w:hAnsi="Times New Roman" w:eastAsia="宋体" w:cs="Times New Roman"/>
          <w:color w:val="FF0000"/>
          <w:sz w:val="24"/>
          <w:szCs w:val="24"/>
        </w:rPr>
        <w:t>注6：如果某</w:t>
      </w: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支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队伍参加中国机器人大赛XXX赛项的多项子项目，资格认证材料只需要提交一份即可，不</w:t>
      </w: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需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要重复提交。如有参加不同赛项（技术委员会相同的为同一赛项，不同技术委员会的则算不同赛项）的，则需分别提交。</w:t>
      </w:r>
      <w:bookmarkEnd w:id="0"/>
    </w:p>
    <w:sectPr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66169836"/>
    </w:sdtPr>
    <w:sdtEndPr>
      <w:rPr>
        <w:rFonts w:ascii="Times New Roman" w:hAnsi="Times New Roman" w:eastAsia="宋体" w:cs="Times New Roman"/>
      </w:rPr>
    </w:sdtEndPr>
    <w:sdtContent>
      <w:p>
        <w:pPr>
          <w:pStyle w:val="6"/>
          <w:jc w:val="center"/>
          <w:rPr>
            <w:rFonts w:ascii="Times New Roman" w:hAnsi="Times New Roman" w:eastAsia="宋体" w:cs="Times New Roman"/>
          </w:rPr>
        </w:pPr>
        <w:r>
          <w:rPr>
            <w:rFonts w:ascii="Times New Roman" w:hAnsi="Times New Roman" w:eastAsia="宋体" w:cs="Times New Roman"/>
          </w:rPr>
          <w:fldChar w:fldCharType="begin"/>
        </w:r>
        <w:r>
          <w:rPr>
            <w:rFonts w:ascii="Times New Roman" w:hAnsi="Times New Roman" w:eastAsia="宋体" w:cs="Times New Roman"/>
          </w:rPr>
          <w:instrText xml:space="preserve">PAGE   \* MERGEFORMAT</w:instrText>
        </w:r>
        <w:r>
          <w:rPr>
            <w:rFonts w:ascii="Times New Roman" w:hAnsi="Times New Roman" w:eastAsia="宋体" w:cs="Times New Roman"/>
          </w:rPr>
          <w:fldChar w:fldCharType="separate"/>
        </w:r>
        <w:r>
          <w:rPr>
            <w:rFonts w:ascii="Times New Roman" w:hAnsi="Times New Roman" w:eastAsia="宋体" w:cs="Times New Roman"/>
            <w:lang w:val="zh-CN"/>
          </w:rPr>
          <w:t>2</w:t>
        </w:r>
        <w:r>
          <w:rPr>
            <w:rFonts w:ascii="Times New Roman" w:hAnsi="Times New Roman" w:eastAsia="宋体" w:cs="Times New Roman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5D2"/>
    <w:rsid w:val="00002DB5"/>
    <w:rsid w:val="000105E9"/>
    <w:rsid w:val="00011113"/>
    <w:rsid w:val="000117C1"/>
    <w:rsid w:val="000212F4"/>
    <w:rsid w:val="0003390A"/>
    <w:rsid w:val="0003427C"/>
    <w:rsid w:val="00045EBD"/>
    <w:rsid w:val="0005095B"/>
    <w:rsid w:val="00085A7D"/>
    <w:rsid w:val="00087243"/>
    <w:rsid w:val="00087E52"/>
    <w:rsid w:val="000958B0"/>
    <w:rsid w:val="000A1810"/>
    <w:rsid w:val="000B009E"/>
    <w:rsid w:val="000D6540"/>
    <w:rsid w:val="000D6EA8"/>
    <w:rsid w:val="00102F08"/>
    <w:rsid w:val="0010657C"/>
    <w:rsid w:val="00107E55"/>
    <w:rsid w:val="00112F42"/>
    <w:rsid w:val="001178FC"/>
    <w:rsid w:val="00140C77"/>
    <w:rsid w:val="00143F56"/>
    <w:rsid w:val="00147605"/>
    <w:rsid w:val="001514FD"/>
    <w:rsid w:val="0016779C"/>
    <w:rsid w:val="00176382"/>
    <w:rsid w:val="001851D9"/>
    <w:rsid w:val="00186024"/>
    <w:rsid w:val="00187654"/>
    <w:rsid w:val="00195BE5"/>
    <w:rsid w:val="001A60B6"/>
    <w:rsid w:val="001B1457"/>
    <w:rsid w:val="001D6898"/>
    <w:rsid w:val="001E582D"/>
    <w:rsid w:val="001E7FF5"/>
    <w:rsid w:val="001F3830"/>
    <w:rsid w:val="002002BE"/>
    <w:rsid w:val="002024A8"/>
    <w:rsid w:val="002211E5"/>
    <w:rsid w:val="00222263"/>
    <w:rsid w:val="002417AC"/>
    <w:rsid w:val="0024324C"/>
    <w:rsid w:val="0024523C"/>
    <w:rsid w:val="0024788C"/>
    <w:rsid w:val="0026399D"/>
    <w:rsid w:val="00275BEE"/>
    <w:rsid w:val="00275DB3"/>
    <w:rsid w:val="00285FCD"/>
    <w:rsid w:val="00293FDC"/>
    <w:rsid w:val="002B2CAA"/>
    <w:rsid w:val="002B68D3"/>
    <w:rsid w:val="002D45AB"/>
    <w:rsid w:val="002E4A52"/>
    <w:rsid w:val="002E7653"/>
    <w:rsid w:val="00300C64"/>
    <w:rsid w:val="003018B2"/>
    <w:rsid w:val="003025F3"/>
    <w:rsid w:val="00327185"/>
    <w:rsid w:val="00344D54"/>
    <w:rsid w:val="003714EF"/>
    <w:rsid w:val="00381C7C"/>
    <w:rsid w:val="00393C9C"/>
    <w:rsid w:val="003C716A"/>
    <w:rsid w:val="003D45D6"/>
    <w:rsid w:val="003E20AE"/>
    <w:rsid w:val="003F292D"/>
    <w:rsid w:val="003F61FF"/>
    <w:rsid w:val="00403CA3"/>
    <w:rsid w:val="004462ED"/>
    <w:rsid w:val="004517E4"/>
    <w:rsid w:val="0045678F"/>
    <w:rsid w:val="00461E05"/>
    <w:rsid w:val="00465591"/>
    <w:rsid w:val="004752FB"/>
    <w:rsid w:val="0047653F"/>
    <w:rsid w:val="0048503B"/>
    <w:rsid w:val="004A2139"/>
    <w:rsid w:val="004A34EC"/>
    <w:rsid w:val="004A6BC8"/>
    <w:rsid w:val="004A7F3E"/>
    <w:rsid w:val="004B0064"/>
    <w:rsid w:val="004B067F"/>
    <w:rsid w:val="004B584C"/>
    <w:rsid w:val="004C7C4E"/>
    <w:rsid w:val="004D2822"/>
    <w:rsid w:val="004F4074"/>
    <w:rsid w:val="004F5468"/>
    <w:rsid w:val="004F5FB0"/>
    <w:rsid w:val="00500957"/>
    <w:rsid w:val="00516428"/>
    <w:rsid w:val="005301C6"/>
    <w:rsid w:val="00532E3D"/>
    <w:rsid w:val="00532FD3"/>
    <w:rsid w:val="00542C22"/>
    <w:rsid w:val="00571AF4"/>
    <w:rsid w:val="005720B1"/>
    <w:rsid w:val="00573457"/>
    <w:rsid w:val="00577BF9"/>
    <w:rsid w:val="005831AC"/>
    <w:rsid w:val="00583431"/>
    <w:rsid w:val="0058561E"/>
    <w:rsid w:val="00593F8A"/>
    <w:rsid w:val="005B0EBF"/>
    <w:rsid w:val="005B3E64"/>
    <w:rsid w:val="005B5850"/>
    <w:rsid w:val="005F05E0"/>
    <w:rsid w:val="00607F71"/>
    <w:rsid w:val="00621A11"/>
    <w:rsid w:val="00631BE3"/>
    <w:rsid w:val="00633993"/>
    <w:rsid w:val="006367B4"/>
    <w:rsid w:val="00641701"/>
    <w:rsid w:val="006460B8"/>
    <w:rsid w:val="00657034"/>
    <w:rsid w:val="00661F4A"/>
    <w:rsid w:val="006623B3"/>
    <w:rsid w:val="006667C9"/>
    <w:rsid w:val="006803E7"/>
    <w:rsid w:val="0068611A"/>
    <w:rsid w:val="00693691"/>
    <w:rsid w:val="00695443"/>
    <w:rsid w:val="006B265C"/>
    <w:rsid w:val="006B692F"/>
    <w:rsid w:val="006C3BDA"/>
    <w:rsid w:val="006C654B"/>
    <w:rsid w:val="006E01CB"/>
    <w:rsid w:val="00702085"/>
    <w:rsid w:val="007457D3"/>
    <w:rsid w:val="0075623F"/>
    <w:rsid w:val="00756E68"/>
    <w:rsid w:val="0076354E"/>
    <w:rsid w:val="00763C29"/>
    <w:rsid w:val="00773D5D"/>
    <w:rsid w:val="00781F34"/>
    <w:rsid w:val="00791F4B"/>
    <w:rsid w:val="007A393A"/>
    <w:rsid w:val="007B08E5"/>
    <w:rsid w:val="007C378B"/>
    <w:rsid w:val="007D103C"/>
    <w:rsid w:val="00800D55"/>
    <w:rsid w:val="00800E1C"/>
    <w:rsid w:val="0080489D"/>
    <w:rsid w:val="00805ED8"/>
    <w:rsid w:val="008121C5"/>
    <w:rsid w:val="00814097"/>
    <w:rsid w:val="00824D33"/>
    <w:rsid w:val="00861737"/>
    <w:rsid w:val="00864803"/>
    <w:rsid w:val="0086526D"/>
    <w:rsid w:val="008744CF"/>
    <w:rsid w:val="008910B2"/>
    <w:rsid w:val="008A00AA"/>
    <w:rsid w:val="008B24D5"/>
    <w:rsid w:val="008B78F6"/>
    <w:rsid w:val="008C28A1"/>
    <w:rsid w:val="008E0757"/>
    <w:rsid w:val="008F3F10"/>
    <w:rsid w:val="008F6604"/>
    <w:rsid w:val="009127BC"/>
    <w:rsid w:val="00926C60"/>
    <w:rsid w:val="009318A8"/>
    <w:rsid w:val="00937FD4"/>
    <w:rsid w:val="0094025D"/>
    <w:rsid w:val="00960178"/>
    <w:rsid w:val="009677E9"/>
    <w:rsid w:val="009977AC"/>
    <w:rsid w:val="009B641E"/>
    <w:rsid w:val="009E44E5"/>
    <w:rsid w:val="009E501C"/>
    <w:rsid w:val="009E6F52"/>
    <w:rsid w:val="009F40FB"/>
    <w:rsid w:val="009F55D2"/>
    <w:rsid w:val="009F693B"/>
    <w:rsid w:val="00A00938"/>
    <w:rsid w:val="00A11A7E"/>
    <w:rsid w:val="00A1576A"/>
    <w:rsid w:val="00A40F65"/>
    <w:rsid w:val="00A5435E"/>
    <w:rsid w:val="00A650F2"/>
    <w:rsid w:val="00A713E0"/>
    <w:rsid w:val="00A77A4D"/>
    <w:rsid w:val="00AA180D"/>
    <w:rsid w:val="00AA4CC5"/>
    <w:rsid w:val="00AB4B80"/>
    <w:rsid w:val="00AD5B0E"/>
    <w:rsid w:val="00AE5F81"/>
    <w:rsid w:val="00B01CC5"/>
    <w:rsid w:val="00B2530A"/>
    <w:rsid w:val="00B80BC9"/>
    <w:rsid w:val="00B906FA"/>
    <w:rsid w:val="00B96110"/>
    <w:rsid w:val="00B96DAF"/>
    <w:rsid w:val="00BA7B3B"/>
    <w:rsid w:val="00BB1234"/>
    <w:rsid w:val="00BB4E29"/>
    <w:rsid w:val="00BC1939"/>
    <w:rsid w:val="00BD1045"/>
    <w:rsid w:val="00BE0FBA"/>
    <w:rsid w:val="00BE2310"/>
    <w:rsid w:val="00BE5175"/>
    <w:rsid w:val="00BF416C"/>
    <w:rsid w:val="00C30671"/>
    <w:rsid w:val="00C34E14"/>
    <w:rsid w:val="00C430FC"/>
    <w:rsid w:val="00C454C2"/>
    <w:rsid w:val="00C629A6"/>
    <w:rsid w:val="00C66AC4"/>
    <w:rsid w:val="00C729F3"/>
    <w:rsid w:val="00C73499"/>
    <w:rsid w:val="00C81F45"/>
    <w:rsid w:val="00C84F79"/>
    <w:rsid w:val="00C92C00"/>
    <w:rsid w:val="00C949FC"/>
    <w:rsid w:val="00C9711B"/>
    <w:rsid w:val="00CC4283"/>
    <w:rsid w:val="00CC4A7A"/>
    <w:rsid w:val="00CD6179"/>
    <w:rsid w:val="00D052CF"/>
    <w:rsid w:val="00D0755A"/>
    <w:rsid w:val="00D15B59"/>
    <w:rsid w:val="00D26D5B"/>
    <w:rsid w:val="00D37908"/>
    <w:rsid w:val="00D406BB"/>
    <w:rsid w:val="00D675A5"/>
    <w:rsid w:val="00D70B27"/>
    <w:rsid w:val="00D819DF"/>
    <w:rsid w:val="00D956AA"/>
    <w:rsid w:val="00D96DAF"/>
    <w:rsid w:val="00DB67E4"/>
    <w:rsid w:val="00DC63FD"/>
    <w:rsid w:val="00DD0C43"/>
    <w:rsid w:val="00DF6446"/>
    <w:rsid w:val="00E3170B"/>
    <w:rsid w:val="00E32832"/>
    <w:rsid w:val="00E368F6"/>
    <w:rsid w:val="00E501BB"/>
    <w:rsid w:val="00E51CD7"/>
    <w:rsid w:val="00E6418E"/>
    <w:rsid w:val="00E70A6C"/>
    <w:rsid w:val="00E7669D"/>
    <w:rsid w:val="00E86238"/>
    <w:rsid w:val="00E93FA8"/>
    <w:rsid w:val="00EA0FF6"/>
    <w:rsid w:val="00EA376A"/>
    <w:rsid w:val="00EA6AEE"/>
    <w:rsid w:val="00EB321F"/>
    <w:rsid w:val="00EC64AA"/>
    <w:rsid w:val="00ED231C"/>
    <w:rsid w:val="00ED479C"/>
    <w:rsid w:val="00EF1205"/>
    <w:rsid w:val="00F012DC"/>
    <w:rsid w:val="00F02E0C"/>
    <w:rsid w:val="00F0754A"/>
    <w:rsid w:val="00F1013F"/>
    <w:rsid w:val="00F33DDC"/>
    <w:rsid w:val="00F34C62"/>
    <w:rsid w:val="00F42431"/>
    <w:rsid w:val="00F4495D"/>
    <w:rsid w:val="00F472CD"/>
    <w:rsid w:val="00F47764"/>
    <w:rsid w:val="00F501EC"/>
    <w:rsid w:val="00F53C54"/>
    <w:rsid w:val="00F55EC2"/>
    <w:rsid w:val="00F622B4"/>
    <w:rsid w:val="00F636CC"/>
    <w:rsid w:val="00F8190D"/>
    <w:rsid w:val="00F82FB2"/>
    <w:rsid w:val="00F83E08"/>
    <w:rsid w:val="00F87A6E"/>
    <w:rsid w:val="00F924C4"/>
    <w:rsid w:val="00FA6939"/>
    <w:rsid w:val="00FA6F77"/>
    <w:rsid w:val="00FB03B1"/>
    <w:rsid w:val="00FB1386"/>
    <w:rsid w:val="00FB36B0"/>
    <w:rsid w:val="00FB562A"/>
    <w:rsid w:val="00FC389F"/>
    <w:rsid w:val="00FC55DD"/>
    <w:rsid w:val="00FC77B7"/>
    <w:rsid w:val="00FD1CD2"/>
    <w:rsid w:val="00FD700D"/>
    <w:rsid w:val="8C67B548"/>
    <w:rsid w:val="FD6C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4"/>
    <w:basedOn w:val="1"/>
    <w:next w:val="1"/>
    <w:link w:val="12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8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13"/>
    <w:unhideWhenUsed/>
    <w:qFormat/>
    <w:uiPriority w:val="99"/>
    <w:pPr>
      <w:spacing w:after="120"/>
    </w:pPr>
    <w:rPr>
      <w:rFonts w:ascii="Cambria" w:hAnsi="Cambria" w:eastAsia="宋体" w:cs="Times New Roman"/>
      <w:sz w:val="24"/>
      <w:szCs w:val="24"/>
    </w:rPr>
  </w:style>
  <w:style w:type="paragraph" w:styleId="5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标题 3 字符"/>
    <w:basedOn w:val="8"/>
    <w:link w:val="2"/>
    <w:qFormat/>
    <w:uiPriority w:val="9"/>
    <w:rPr>
      <w:b/>
      <w:bCs/>
      <w:sz w:val="32"/>
      <w:szCs w:val="32"/>
    </w:rPr>
  </w:style>
  <w:style w:type="character" w:customStyle="1" w:styleId="12">
    <w:name w:val="标题 4 字符"/>
    <w:basedOn w:val="8"/>
    <w:link w:val="3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3">
    <w:name w:val="正文文本 字符"/>
    <w:basedOn w:val="8"/>
    <w:link w:val="4"/>
    <w:qFormat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14">
    <w:name w:val="批注框文本 字符"/>
    <w:basedOn w:val="8"/>
    <w:link w:val="5"/>
    <w:semiHidden/>
    <w:qFormat/>
    <w:uiPriority w:val="99"/>
    <w:rPr>
      <w:sz w:val="18"/>
      <w:szCs w:val="18"/>
    </w:rPr>
  </w:style>
  <w:style w:type="paragraph" w:customStyle="1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页眉 字符"/>
    <w:basedOn w:val="8"/>
    <w:link w:val="7"/>
    <w:qFormat/>
    <w:uiPriority w:val="99"/>
    <w:rPr>
      <w:sz w:val="18"/>
      <w:szCs w:val="18"/>
    </w:rPr>
  </w:style>
  <w:style w:type="character" w:customStyle="1" w:styleId="17">
    <w:name w:val="页脚 字符"/>
    <w:basedOn w:val="8"/>
    <w:link w:val="6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376</Words>
  <Characters>2146</Characters>
  <Lines>17</Lines>
  <Paragraphs>5</Paragraphs>
  <TotalTime>0</TotalTime>
  <ScaleCrop>false</ScaleCrop>
  <LinksUpToDate>false</LinksUpToDate>
  <CharactersWithSpaces>2517</CharactersWithSpaces>
  <Application>WPS Office_2.6.1.4274_F1E327BC-269C-435d-A152-05C5408002CA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2020-09-17T10:14:00Z</dcterms:created>
  <dc:creator>Wanmi</dc:creator>
  <cp:lastModifiedBy>tuerq</cp:lastModifiedBy>
  <dcterms:modified xsi:type="dcterms:W3CDTF">2020-09-20T13:13:25Z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2052-2.6.1.4274</vt:lpwstr>
  </property>
</Properties>
</file>